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hint="eastAsia" w:ascii="仿宋_GB2312" w:hAnsi="仿宋_GB2312" w:eastAsia="仿宋_GB2312" w:cs="仿宋_GB2312"/>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6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黑体" w:hAnsi="黑体" w:eastAsia="黑体" w:cs="黑体"/>
          <w:sz w:val="32"/>
          <w:szCs w:val="40"/>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蛋白同化制剂、肽类激素进口准许证核发  </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五、行政许可事项设定依据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反兴奋剂条例》（2004年1月13日国务院令第398号，2014年7月29日予以修改）第十一条：进口蛋白同化制剂、肽类激素，除依照药品管理法及其实施条例的规定取得国务院食品药品监督管理部门发给的进口药品注册证书外，还应当取得省、自治区、直辖市人民政府食品药品监督管理部门颁发的进口准许证。申请进口蛋白同化制剂、肽类激素，应当说明其用途。省、自治区、直辖市人民政府食品药品监督管理部门应当自收到申请之日起15个工作日内作出决定；对用途合法的，应当予以批准，发给进口准许证。海关凭进口准许证放行。第十二条：申请出口蛋白同化制剂、肽类激素，应当说明供应对象并提交进口国政府主管部门的相关证明文件等资料。省、自治区、直辖市人民政府食品药品监督管理部门应当自收到申请之日起15个工作日内作出决定；提交进口国政府主管部门的相关证明文件等资料的，应当予以批准，发给出口准许证。海关凭出口准许证放行。</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六、准予许可条件、标准和技术要求</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依照药品管理法的规定取得《药品经营许可证》的药品批发企业，具备下列条件，并经省、自治区、直辖市人民政府食品药品监督管理部门批准，方可经营蛋白同化制剂、肽类激素。《中华人民共和国行政许可法》第三十二条第五项： 申请事项属于本行政机关职权范围，申请材料齐全、符合法定形式，或者申请人按照本行政机关的要求提交全部补正申请材料的，应当受理行政许可申请。 </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七、具体改革举措及主要理由</w:t>
      </w:r>
    </w:p>
    <w:p>
      <w:pPr>
        <w:spacing w:line="560" w:lineRule="exac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不再要求申请人提供药品生产许可证、药品经营许可证等材料。</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1.特殊药品进口申请表</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2.特殊药品出口申请表</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3.外销合同</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4.购货合同订单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5.进口药品注册证</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6.医药产品注册证</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7.企业营业执照</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8.进出口企业资格证书</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9.对外贸易经营者备案登记表</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10.相应科研项目的批准文件</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11.相应主管部门的批准文件</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12.国内使用单位合法资质的证明文件</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13.药品使用数量的测算依据以及使用单位出具的合法使用和管理该药品的保证函</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14.申请材料真实性的自我保证声明，并对材料作出如有虚假承担法律责任的承诺</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15.法人授权委托书</w:t>
      </w:r>
    </w:p>
    <w:p>
      <w:pPr>
        <w:spacing w:line="560" w:lineRule="exact"/>
        <w:ind w:firstLine="640" w:firstLineChars="200"/>
        <w:jc w:val="left"/>
        <w:rPr>
          <w:rFonts w:hint="eastAsia" w:ascii="方正小标宋简体" w:hAnsi="方正小标宋简体" w:eastAsia="方正小标宋简体" w:cs="方正小标宋简体"/>
          <w:sz w:val="36"/>
          <w:szCs w:val="36"/>
        </w:rPr>
      </w:pPr>
      <w:r>
        <w:rPr>
          <w:rFonts w:hint="eastAsia" w:ascii="黑体" w:hAnsi="黑体" w:eastAsia="黑体" w:cs="黑体"/>
          <w:sz w:val="32"/>
          <w:szCs w:val="40"/>
        </w:rPr>
        <w:t>九、办理流程图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蛋白同化制剂、肽类激素进口准许证核发</w:t>
      </w:r>
      <w:bookmarkStart w:id="0" w:name="_GoBack"/>
      <w:bookmarkEnd w:id="0"/>
      <w:r>
        <w:rPr>
          <w:rFonts w:hint="eastAsia" w:ascii="方正小标宋简体" w:hAnsi="方正小标宋简体" w:eastAsia="方正小标宋简体" w:cs="方正小标宋简体"/>
          <w:sz w:val="32"/>
          <w:szCs w:val="32"/>
        </w:rPr>
        <w:t>事项办理流程图</w:t>
      </w:r>
    </w:p>
    <w:p>
      <w:pPr>
        <w:jc w:val="center"/>
        <w:rPr>
          <w:rFonts w:hint="eastAsia" w:ascii="黑体" w:hAnsi="黑体" w:eastAsia="黑体" w:cs="黑体"/>
          <w:sz w:val="32"/>
          <w:szCs w:val="40"/>
        </w:rPr>
      </w:pPr>
      <w:r>
        <w:drawing>
          <wp:inline distT="0" distB="0" distL="114300" distR="114300">
            <wp:extent cx="5153025" cy="45053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153025" cy="4505325"/>
                    </a:xfrm>
                    <a:prstGeom prst="rect">
                      <a:avLst/>
                    </a:prstGeom>
                    <a:noFill/>
                    <a:ln>
                      <a:noFill/>
                    </a:ln>
                  </pic:spPr>
                </pic:pic>
              </a:graphicData>
            </a:graphic>
          </wp:inline>
        </w:drawing>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十、加强事中事后监管措施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1.严格执行有关法律法规和规章，对特殊药品生产、经营企业加强监管。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2.实施重点监管，发现违法违规行为要依法严查重处。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3.及时向社会公开许可信息，加强社会监督。</w:t>
      </w:r>
    </w:p>
    <w:p>
      <w:pPr>
        <w:ind w:firstLine="640" w:firstLineChars="200"/>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A87A51"/>
    <w:rsid w:val="6C742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2021-10-12T01:52:11Z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1E3C6C3C45A9452B94C73E258A160FCA</vt:lpwstr>
  </property>
</Properties>
</file>